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36"/>
          <w:szCs w:val="36"/>
        </w:rPr>
      </w:pPr>
      <w:bookmarkStart w:id="0" w:name="_GoBack"/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36"/>
          <w:szCs w:val="36"/>
          <w:bdr w:val="none" w:color="auto" w:sz="0" w:space="0"/>
          <w:shd w:val="clear" w:fill="FFFFFF"/>
        </w:rPr>
        <w:t>特殊模具系列</w:t>
      </w:r>
    </w:p>
    <w:bookmarkEnd w:id="0"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36"/>
          <w:szCs w:val="36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36"/>
          <w:szCs w:val="36"/>
          <w:bdr w:val="none" w:color="auto" w:sz="0" w:space="0"/>
          <w:shd w:val="clear" w:fill="FFFFFF"/>
        </w:rPr>
        <w:t>（共4套 平均/套5800元）</w:t>
      </w:r>
    </w:p>
    <w:tbl>
      <w:tblPr>
        <w:tblW w:w="703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8"/>
        <w:gridCol w:w="1472"/>
        <w:gridCol w:w="4162"/>
        <w:gridCol w:w="78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4" w:type="dxa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 w:firstLine="264"/>
              <w:jc w:val="center"/>
              <w:rPr>
                <w:sz w:val="28"/>
                <w:szCs w:val="28"/>
              </w:rPr>
            </w:pPr>
            <w:r>
              <w:rPr>
                <w:rStyle w:val="7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1356" w:type="dxa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配置名称</w:t>
            </w:r>
          </w:p>
        </w:tc>
        <w:tc>
          <w:tcPr>
            <w:tcW w:w="4296" w:type="dxa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详细描述及技术要求</w:t>
            </w:r>
          </w:p>
        </w:tc>
        <w:tc>
          <w:tcPr>
            <w:tcW w:w="804" w:type="dxa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Style w:val="7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数量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4" w:type="dxa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356" w:type="dxa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齿轮齿条脱螺纹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XSCZZM -01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240×200mm</w:t>
            </w:r>
          </w:p>
        </w:tc>
        <w:tc>
          <w:tcPr>
            <w:tcW w:w="4296" w:type="dxa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成型深螺距,硬质材料带螺纹的塑件,通过模具内齿轮齿条相对旋转运动来实现脱模的生产方式。成型产品为瓶盖，一模二腔，产品尺寸不小于250×15 mm，牙距不小于3，配合螺纹深度不小于10mm，单腔螺纹数量不少于4个。主流道浮动顶出结构，脱模过程时间控制。</w:t>
            </w:r>
          </w:p>
        </w:tc>
        <w:tc>
          <w:tcPr>
            <w:tcW w:w="804" w:type="dxa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4" w:type="dxa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356" w:type="dxa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弹簧双分型面注射模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XSCZZM -02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240×200mm</w:t>
            </w:r>
          </w:p>
        </w:tc>
        <w:tc>
          <w:tcPr>
            <w:tcW w:w="4296" w:type="dxa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该模具成型塑料制品内侧有斜凹槽,模具采用定模板拉钩摆杆式顺序分型机构,采用推杆推出制品。顺序分型的目的是完成侧向斜抽芯。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252" w:right="0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该成型产品内侧有1处45度穿孔，模具2次分型来完成斜抽芯。成型尺寸不小于30×20×10㎜。</w:t>
            </w:r>
          </w:p>
        </w:tc>
        <w:tc>
          <w:tcPr>
            <w:tcW w:w="804" w:type="dxa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4" w:type="dxa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1356" w:type="dxa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彩色剖面斜顶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滑块模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XSCSPM-03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240×200mm</w:t>
            </w:r>
          </w:p>
        </w:tc>
        <w:tc>
          <w:tcPr>
            <w:tcW w:w="4296" w:type="dxa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252" w:right="0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模具动模部分有2处斜顶，1处斜导柱抽芯结构。剖切面从斜顶、滑块、斜导柱内部解体。产品整体注塑尺寸为长70mm×宽50mm×高20mm,分解注塑尺寸为长70mm×宽40mm×高20m.</w:t>
            </w:r>
          </w:p>
        </w:tc>
        <w:tc>
          <w:tcPr>
            <w:tcW w:w="804" w:type="dxa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64" w:type="dxa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1356" w:type="dxa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彩色剖面推板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哈夫模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XSCSPM-04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240×200mm</w:t>
            </w:r>
          </w:p>
        </w:tc>
        <w:tc>
          <w:tcPr>
            <w:tcW w:w="4296" w:type="dxa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模具动模部分设有推板顶出，定模部分哈夫结构，剖切面从推板、哈夫滑块、导向板内部解体。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产品整体注塑尺寸为长85 mm×宽65 mm×高35㎜，分解注塑尺寸为85长×40宽×35高㎜.</w:t>
            </w:r>
          </w:p>
        </w:tc>
        <w:tc>
          <w:tcPr>
            <w:tcW w:w="804" w:type="dxa"/>
            <w:tcBorders>
              <w:top w:val="single" w:color="DCDCDC" w:sz="4" w:space="0"/>
              <w:left w:val="single" w:color="DCDCDC" w:sz="4" w:space="0"/>
              <w:bottom w:val="single" w:color="DCDCDC" w:sz="4" w:space="0"/>
              <w:right w:val="single" w:color="DCDCDC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2" w:afterAutospacing="0" w:line="2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1套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ascii="sans-serif" w:hAnsi="sans-serif" w:eastAsia="sans-serif" w:cs="sans-serif"/>
                <w:i w:val="0"/>
                <w:iCs w:val="0"/>
                <w:caps w:val="0"/>
                <w:color w:val="666666"/>
                <w:spacing w:val="0"/>
                <w:sz w:val="28"/>
                <w:szCs w:val="28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  <w:lang w:val="en-US" w:eastAsia="zh-CN"/>
      </w:rPr>
      <w:t>网址：</w:t>
    </w:r>
    <w:r>
      <w:rPr>
        <w:rFonts w:hint="eastAsia"/>
        <w:color w:val="auto"/>
        <w:u w:val="none"/>
        <w:lang w:val="en-US" w:eastAsia="zh-CN"/>
      </w:rPr>
      <w:fldChar w:fldCharType="begin"/>
    </w:r>
    <w:r>
      <w:rPr>
        <w:rFonts w:hint="eastAsia"/>
        <w:color w:val="auto"/>
        <w:u w:val="none"/>
        <w:lang w:val="en-US" w:eastAsia="zh-CN"/>
      </w:rPr>
      <w:instrText xml:space="preserve"> HYPERLINK "http://www.shfdtw.com" </w:instrText>
    </w:r>
    <w:r>
      <w:rPr>
        <w:rFonts w:hint="eastAsia"/>
        <w:color w:val="auto"/>
        <w:u w:val="none"/>
        <w:lang w:val="en-US" w:eastAsia="zh-CN"/>
      </w:rPr>
      <w:fldChar w:fldCharType="separate"/>
    </w:r>
    <w:r>
      <w:rPr>
        <w:rStyle w:val="8"/>
        <w:rFonts w:hint="eastAsia"/>
        <w:color w:val="auto"/>
        <w:u w:val="none"/>
        <w:lang w:val="en-US" w:eastAsia="zh-CN"/>
      </w:rPr>
      <w:t>www.shfdtw.com</w:t>
    </w:r>
    <w:r>
      <w:rPr>
        <w:rFonts w:hint="eastAsia"/>
        <w:color w:val="auto"/>
        <w:u w:val="none"/>
        <w:lang w:val="en-US" w:eastAsia="zh-CN"/>
      </w:rPr>
      <w:fldChar w:fldCharType="end"/>
    </w:r>
    <w:r>
      <w:rPr>
        <w:rFonts w:hint="eastAsia"/>
        <w:color w:val="auto"/>
        <w:u w:val="none"/>
        <w:lang w:val="en-US" w:eastAsia="zh-CN"/>
      </w:rPr>
      <w:t xml:space="preserve">   </w:t>
    </w:r>
    <w:r>
      <w:rPr>
        <w:rFonts w:hint="eastAsia"/>
        <w:lang w:val="en-US" w:eastAsia="zh-CN"/>
      </w:rPr>
      <w:t xml:space="preserve">                                  电话：021-55884001        55884002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lang w:val="en-US"/>
      </w:rPr>
      <w:drawing>
        <wp:inline distT="0" distB="0" distL="114300" distR="114300">
          <wp:extent cx="1198880" cy="254635"/>
          <wp:effectExtent l="0" t="0" r="5080" b="4445"/>
          <wp:docPr id="1" name="图片 1" descr="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77"/>
                  <pic:cNvPicPr>
                    <a:picLocks noChangeAspect="1"/>
                  </pic:cNvPicPr>
                </pic:nvPicPr>
                <pic:blipFill>
                  <a:blip r:embed="rId1"/>
                  <a:srcRect t="6456" b="15469"/>
                  <a:stretch>
                    <a:fillRect/>
                  </a:stretch>
                </pic:blipFill>
                <pic:spPr>
                  <a:xfrm>
                    <a:off x="0" y="0"/>
                    <a:ext cx="1198880" cy="254635"/>
                  </a:xfrm>
                  <a:prstGeom prst="rect">
                    <a:avLst/>
                  </a:prstGeom>
                  <a:noFill/>
                  <a:ln w="9525">
                    <a:noFill/>
                    <a:miter/>
                  </a:ln>
                  <a:effectLst/>
                </pic:spPr>
              </pic:pic>
            </a:graphicData>
          </a:graphic>
        </wp:inline>
      </w:drawing>
    </w:r>
    <w:r>
      <w:rPr>
        <w:lang w:val="en-US"/>
      </w:rPr>
      <w:t xml:space="preserve">  </w:t>
    </w:r>
    <w:r>
      <w:rPr>
        <w:rFonts w:hint="eastAsia"/>
        <w:lang w:val="en-US" w:eastAsia="zh-CN"/>
      </w:rPr>
      <w:t xml:space="preserve">                                      </w:t>
    </w:r>
    <w:r>
      <w:rPr>
        <w:rFonts w:hint="default"/>
        <w:lang w:val="en-US" w:eastAsia="zh-CN"/>
      </w:rPr>
      <w:t xml:space="preserve"> </w:t>
    </w:r>
    <w:r>
      <w:rPr>
        <w:rFonts w:hint="eastAsia"/>
        <w:lang w:val="en-US" w:eastAsia="zh-CN"/>
      </w:rPr>
      <w:t xml:space="preserve">  上海天威教学实验设备有限公司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88508D"/>
    <w:rsid w:val="16885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2021-12-15T02:38:00Z</dcterms:created>
  <dc:creator>煌嘉软件</dc:creator>
  <cp:lastModifiedBy>煌嘉软件</cp:lastModifiedBy>
  <dcterms:modified xsi:type="dcterms:W3CDTF">2021-12-15T02:53:34Z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B8A709B1A2C64882BF72D85A76580CA3</vt:lpwstr>
  </property>
</Properties>
</file>