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outlineLvl w:val="0"/>
        <w:rPr>
          <w:rFonts w:hint="default" w:eastAsia="宋体"/>
          <w:b/>
          <w:bCs/>
          <w:color w:val="FF0000"/>
          <w:sz w:val="28"/>
          <w:szCs w:val="28"/>
          <w:lang w:val="en-US" w:eastAsia="zh-CN"/>
        </w:rPr>
      </w:pPr>
      <w:r>
        <w:rPr>
          <w:rFonts w:hint="eastAsia"/>
          <w:b/>
          <w:bCs/>
          <w:sz w:val="28"/>
          <w:szCs w:val="28"/>
        </w:rPr>
        <w:t>TW-Z3</w:t>
      </w:r>
      <w:r>
        <w:rPr>
          <w:rFonts w:hint="eastAsia" w:eastAsia="宋体"/>
          <w:b/>
          <w:bCs/>
          <w:sz w:val="28"/>
          <w:szCs w:val="28"/>
          <w:lang w:val="en-US" w:eastAsia="zh-CN"/>
        </w:rPr>
        <w:t>4B</w:t>
      </w:r>
      <w:r>
        <w:rPr>
          <w:rFonts w:hint="eastAsia"/>
          <w:b/>
          <w:bCs/>
          <w:sz w:val="28"/>
          <w:szCs w:val="28"/>
        </w:rPr>
        <w:t>机械传动装配与调试平台</w:t>
      </w:r>
      <w:r>
        <w:rPr>
          <w:rFonts w:hint="eastAsia" w:eastAsiaTheme="minorEastAsia"/>
          <w:color w:val="FF0000"/>
          <w:sz w:val="28"/>
          <w:szCs w:val="28"/>
          <w:lang w:val="en-US" w:eastAsia="zh-CN"/>
        </w:rPr>
        <w:t>16万</w:t>
      </w:r>
    </w:p>
    <w:p>
      <w:pPr>
        <w:pStyle w:val="4"/>
        <w:spacing w:line="360" w:lineRule="auto"/>
        <w:jc w:val="center"/>
        <w:rPr>
          <w:rFonts w:hAnsi="宋体"/>
          <w:b/>
          <w:bCs/>
          <w:sz w:val="28"/>
          <w:szCs w:val="28"/>
        </w:rPr>
      </w:pPr>
      <w:bookmarkStart w:id="0" w:name="_GoBack"/>
      <w:r>
        <w:drawing>
          <wp:inline distT="0" distB="0" distL="0" distR="0">
            <wp:extent cx="5274310" cy="3050540"/>
            <wp:effectExtent l="0" t="0" r="2540" b="16510"/>
            <wp:docPr id="1136759164" name="图片 1" descr="C:/Users/Administrator/Desktop/图片1.jp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759164" name="图片 1" descr="C:/Users/Administrator/Desktop/图片1.jpg图片1"/>
                    <pic:cNvPicPr>
                      <a:picLocks noChangeAspect="1" noChangeArrowheads="1"/>
                    </pic:cNvPicPr>
                  </pic:nvPicPr>
                  <pic:blipFill>
                    <a:blip r:embed="rId5"/>
                    <a:srcRect t="30" b="30"/>
                    <a:stretch>
                      <a:fillRect/>
                    </a:stretch>
                  </pic:blipFill>
                  <pic:spPr>
                    <a:xfrm>
                      <a:off x="0" y="0"/>
                      <a:ext cx="5274310" cy="3050540"/>
                    </a:xfrm>
                    <a:prstGeom prst="rect">
                      <a:avLst/>
                    </a:prstGeom>
                    <a:noFill/>
                    <a:ln>
                      <a:noFill/>
                    </a:ln>
                  </pic:spPr>
                </pic:pic>
              </a:graphicData>
            </a:graphic>
          </wp:inline>
        </w:drawing>
      </w:r>
      <w:bookmarkEnd w:id="0"/>
    </w:p>
    <w:p>
      <w:pPr>
        <w:pStyle w:val="4"/>
        <w:spacing w:line="440" w:lineRule="exact"/>
        <w:jc w:val="center"/>
        <w:rPr>
          <w:rFonts w:ascii="宋体" w:hAnsi="宋体" w:cs="宋体"/>
          <w:b/>
          <w:color w:val="auto"/>
        </w:rPr>
      </w:pPr>
      <w:r>
        <w:rPr>
          <w:rFonts w:hint="eastAsia" w:ascii="宋体" w:hAnsi="宋体" w:cs="宋体"/>
          <w:bCs/>
        </w:rPr>
        <w:t>设备参考图片</w:t>
      </w:r>
    </w:p>
    <w:p>
      <w:pPr>
        <w:adjustRightInd/>
        <w:snapToGrid/>
        <w:spacing w:line="400" w:lineRule="exact"/>
        <w:outlineLvl w:val="0"/>
        <w:rPr>
          <w:rFonts w:ascii="宋体" w:hAnsi="宋体" w:cs="宋体"/>
          <w:b/>
          <w:sz w:val="21"/>
          <w:szCs w:val="21"/>
        </w:rPr>
      </w:pPr>
      <w:r>
        <w:rPr>
          <w:rFonts w:hint="eastAsia" w:ascii="宋体" w:hAnsi="宋体" w:cs="宋体"/>
          <w:b/>
          <w:sz w:val="21"/>
          <w:szCs w:val="21"/>
        </w:rPr>
        <w:t>一、总体要求：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1、系统主要应由实训工作台、控制柜、模块式实训组件、测量仪器仪表及配件等组成，应可完成带传动、链传动、齿轮传动、蜗轮蜗杆传动等安装调整训练。</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2、系统应配有安全防护装置，防护装置打开后应不应妨碍装调操作。</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3、系统应为开放式结构设计，采用铸铁平台作为搭接底板和工业器件，可自由安装调整不同的实训对象部件。</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4、工作电源：三相五线 AC380V±10%。</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5、外形尺寸：≧1</w:t>
      </w:r>
      <w:r>
        <w:rPr>
          <w:rFonts w:ascii="宋体" w:hAnsi="宋体" w:cs="宋体"/>
          <w:sz w:val="21"/>
          <w:szCs w:val="21"/>
        </w:rPr>
        <w:t>2</w:t>
      </w:r>
      <w:r>
        <w:rPr>
          <w:rFonts w:hint="eastAsia" w:ascii="宋体" w:hAnsi="宋体" w:cs="宋体"/>
          <w:sz w:val="21"/>
          <w:szCs w:val="21"/>
        </w:rPr>
        <w:t>00mm×800mm×1</w:t>
      </w:r>
      <w:r>
        <w:rPr>
          <w:rFonts w:ascii="宋体" w:hAnsi="宋体" w:cs="宋体"/>
          <w:sz w:val="21"/>
          <w:szCs w:val="21"/>
        </w:rPr>
        <w:t>60</w:t>
      </w:r>
      <w:r>
        <w:rPr>
          <w:rFonts w:hint="eastAsia" w:ascii="宋体" w:hAnsi="宋体" w:cs="宋体"/>
          <w:sz w:val="21"/>
          <w:szCs w:val="21"/>
        </w:rPr>
        <w:t>0mm（系统主体）。</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6、三相变频电动机、步进电机、变频器、轴承座等均应采用一流品牌部件，运行可靠并贴近工业实际应用。</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7、具有漏电保护、短路保护、整体实训对象部件运行的防护联锁保护、接地保护等功能，对设备及操作者进行有效保护。</w:t>
      </w:r>
    </w:p>
    <w:p>
      <w:pPr>
        <w:adjustRightInd/>
        <w:snapToGrid/>
        <w:spacing w:line="400" w:lineRule="exact"/>
        <w:outlineLvl w:val="0"/>
        <w:rPr>
          <w:rFonts w:ascii="宋体" w:hAnsi="宋体" w:cs="宋体"/>
          <w:b/>
          <w:sz w:val="21"/>
          <w:szCs w:val="21"/>
        </w:rPr>
      </w:pPr>
      <w:r>
        <w:rPr>
          <w:rFonts w:hint="eastAsia" w:ascii="宋体" w:hAnsi="宋体" w:cs="宋体"/>
          <w:b/>
          <w:sz w:val="21"/>
          <w:szCs w:val="21"/>
        </w:rPr>
        <w:t>二、主要配置及功能要求：</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1、实训工作台要求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（1）须采用钢质框架，组装式结构设计，双色亚光密纹喷塑处理；</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（2）须采用铸铁平板台面，铸铁平板尺寸：≧1</w:t>
      </w:r>
      <w:r>
        <w:rPr>
          <w:rFonts w:ascii="宋体" w:hAnsi="宋体" w:cs="宋体"/>
          <w:sz w:val="21"/>
          <w:szCs w:val="21"/>
        </w:rPr>
        <w:t>1</w:t>
      </w:r>
      <w:r>
        <w:rPr>
          <w:rFonts w:hint="eastAsia" w:ascii="宋体" w:hAnsi="宋体" w:cs="宋体"/>
          <w:sz w:val="21"/>
          <w:szCs w:val="21"/>
        </w:rPr>
        <w:t>00×750×</w:t>
      </w:r>
      <w:r>
        <w:rPr>
          <w:rFonts w:ascii="宋体" w:hAnsi="宋体" w:cs="宋体"/>
          <w:sz w:val="21"/>
          <w:szCs w:val="21"/>
        </w:rPr>
        <w:t>50</w:t>
      </w:r>
      <w:r>
        <w:rPr>
          <w:rFonts w:hint="eastAsia" w:ascii="宋体" w:hAnsi="宋体" w:cs="宋体"/>
          <w:sz w:val="21"/>
          <w:szCs w:val="21"/>
        </w:rPr>
        <w:t>mm，重量：≧280kg，铸铁平板台面经研磨、刮研处理，粗糙精度不低于1.6μm，微见刀路痕迹。</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（3）应配有内圆外方型材6条，槽宽≧10mm；内圆外方型材应可调节地设置在平台组件上，实训组件可调节地设置在所述内圆外方型材上。</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（4）平板台面左右两侧须安装有方便快速压紧内圆外方型材的长形压板。</w:t>
      </w:r>
    </w:p>
    <w:p>
      <w:pPr>
        <w:adjustRightInd/>
        <w:snapToGrid/>
        <w:spacing w:line="400" w:lineRule="exact"/>
        <w:ind w:firstLine="420" w:firstLineChars="200"/>
        <w:outlineLvl w:val="2"/>
        <w:rPr>
          <w:rFonts w:ascii="宋体" w:hAnsi="宋体" w:cs="宋体"/>
          <w:sz w:val="21"/>
          <w:szCs w:val="21"/>
        </w:rPr>
      </w:pPr>
      <w:r>
        <w:rPr>
          <w:rFonts w:hint="eastAsia" w:ascii="宋体" w:hAnsi="宋体" w:cs="宋体"/>
          <w:sz w:val="21"/>
          <w:szCs w:val="21"/>
        </w:rPr>
        <w:t>（5）安全防护装置</w:t>
      </w:r>
    </w:p>
    <w:p>
      <w:pPr>
        <w:adjustRightInd/>
        <w:snapToGrid/>
        <w:spacing w:line="400" w:lineRule="exact"/>
        <w:ind w:firstLine="420" w:firstLineChars="200"/>
        <w:rPr>
          <w:sz w:val="21"/>
          <w:szCs w:val="21"/>
        </w:rPr>
      </w:pPr>
      <w:r>
        <w:rPr>
          <w:rFonts w:hint="eastAsia" w:ascii="宋体" w:hAnsi="宋体" w:cs="宋体"/>
          <w:sz w:val="21"/>
          <w:szCs w:val="21"/>
        </w:rPr>
        <w:t>1）配套有安全防护装置，为便于使用管理，须与实训平台一体创新设计，既可展开防护、也可撤防收纳。</w:t>
      </w:r>
      <w:r>
        <w:rPr>
          <w:rFonts w:hint="eastAsia"/>
          <w:sz w:val="21"/>
          <w:szCs w:val="21"/>
        </w:rPr>
        <w:t xml:space="preserve"> </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2）防护高度≥1.2m，在防护高度范围内禁止细微物体伸入，防护面积约为0.8m2；</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3）防护状态下可将所有机械对象运行系统与操作者隔离，但不影响操作者观察；</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4）防护装置与对象部件的运行具有联锁保护功能，解除防护状态后不影响装调操作。</w:t>
      </w:r>
    </w:p>
    <w:p>
      <w:pPr>
        <w:adjustRightInd/>
        <w:snapToGrid/>
        <w:spacing w:line="400" w:lineRule="exact"/>
        <w:ind w:firstLine="420" w:firstLineChars="200"/>
        <w:outlineLvl w:val="3"/>
        <w:rPr>
          <w:rFonts w:ascii="宋体" w:hAnsi="宋体" w:cs="宋体"/>
          <w:sz w:val="21"/>
          <w:szCs w:val="21"/>
        </w:rPr>
      </w:pPr>
      <w:r>
        <w:rPr>
          <w:rFonts w:hint="eastAsia" w:ascii="宋体" w:hAnsi="宋体" w:cs="宋体"/>
          <w:sz w:val="21"/>
          <w:szCs w:val="21"/>
        </w:rPr>
        <w:t>5）安全防护装置一面的扭矩阻尼值不小于1.8N.M，各面厚度：≦15mm；</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 xml:space="preserve">（6）应设有存储柜，柜内存储面积≧1.9m2，方便实训零件、工量具、资料等的放置及管理；底部应采用调节脚杯及工业脚轮，单轮承重不小于500kg。 </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（7）应配套有专用零件内腔存放盒，总数不少于5个，内腔传动零件可实现一对一存放管理；每个内腔存放盒尺寸≧500x580*50mm，重量：≤1kg；器件取放及管理方便。</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2、电控柜要求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（1）电控柜应为优质1</w:t>
      </w:r>
      <w:r>
        <w:rPr>
          <w:rFonts w:ascii="宋体" w:hAnsi="宋体" w:cs="宋体"/>
          <w:sz w:val="21"/>
          <w:szCs w:val="21"/>
        </w:rPr>
        <w:t>.2mm</w:t>
      </w:r>
      <w:r>
        <w:rPr>
          <w:rFonts w:hint="eastAsia" w:ascii="宋体" w:hAnsi="宋体" w:cs="宋体"/>
          <w:sz w:val="21"/>
          <w:szCs w:val="21"/>
        </w:rPr>
        <w:t>冷轧钢板材质，表面密纹喷塑处理，操作面板应采用斜面视觉设计；</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（2）电控柜尺寸：≧</w:t>
      </w:r>
      <w:r>
        <w:rPr>
          <w:rFonts w:ascii="宋体" w:hAnsi="宋体" w:cs="宋体"/>
          <w:sz w:val="21"/>
          <w:szCs w:val="21"/>
        </w:rPr>
        <w:t>6</w:t>
      </w:r>
      <w:r>
        <w:rPr>
          <w:rFonts w:hint="eastAsia" w:ascii="宋体" w:hAnsi="宋体" w:cs="宋体"/>
          <w:sz w:val="21"/>
          <w:szCs w:val="21"/>
        </w:rPr>
        <w:t>00mm×</w:t>
      </w:r>
      <w:r>
        <w:rPr>
          <w:rFonts w:ascii="宋体" w:hAnsi="宋体" w:cs="宋体"/>
          <w:sz w:val="21"/>
          <w:szCs w:val="21"/>
        </w:rPr>
        <w:t>54</w:t>
      </w:r>
      <w:r>
        <w:rPr>
          <w:rFonts w:hint="eastAsia" w:ascii="宋体" w:hAnsi="宋体" w:cs="宋体"/>
          <w:sz w:val="21"/>
          <w:szCs w:val="21"/>
        </w:rPr>
        <w:t>0mm×</w:t>
      </w:r>
      <w:r>
        <w:rPr>
          <w:rFonts w:ascii="宋体" w:hAnsi="宋体" w:cs="宋体"/>
          <w:sz w:val="21"/>
          <w:szCs w:val="21"/>
        </w:rPr>
        <w:t>1250</w:t>
      </w:r>
      <w:r>
        <w:rPr>
          <w:rFonts w:hint="eastAsia" w:ascii="宋体" w:hAnsi="宋体" w:cs="宋体"/>
          <w:sz w:val="21"/>
          <w:szCs w:val="21"/>
        </w:rPr>
        <w:t>m</w:t>
      </w:r>
      <w:r>
        <w:rPr>
          <w:rFonts w:ascii="宋体" w:hAnsi="宋体" w:cs="宋体"/>
          <w:sz w:val="21"/>
          <w:szCs w:val="21"/>
        </w:rPr>
        <w:t>m,</w:t>
      </w:r>
      <w:r>
        <w:rPr>
          <w:rFonts w:hint="eastAsia" w:ascii="宋体" w:hAnsi="宋体" w:cs="宋体"/>
          <w:sz w:val="21"/>
          <w:szCs w:val="21"/>
        </w:rPr>
        <w:t>应具有底部工业脚轮，方便移动。</w:t>
      </w:r>
    </w:p>
    <w:p>
      <w:pPr>
        <w:spacing w:line="360" w:lineRule="auto"/>
        <w:ind w:firstLine="440" w:firstLineChars="200"/>
      </w:pPr>
      <w:r>
        <w:rPr>
          <w:rFonts w:hint="eastAsia" w:ascii="宋体" w:hAnsi="宋体"/>
        </w:rPr>
        <w:t>（</w:t>
      </w:r>
      <w:r>
        <w:rPr>
          <w:rFonts w:ascii="宋体" w:hAnsi="宋体"/>
        </w:rPr>
        <w:t>3</w:t>
      </w:r>
      <w:r>
        <w:rPr>
          <w:rFonts w:hint="eastAsia" w:ascii="宋体" w:hAnsi="宋体"/>
        </w:rPr>
        <w:t>）P</w:t>
      </w:r>
      <w:r>
        <w:rPr>
          <w:rFonts w:ascii="宋体" w:hAnsi="宋体"/>
        </w:rPr>
        <w:t>LC</w:t>
      </w:r>
      <w:r>
        <w:rPr>
          <w:rFonts w:hint="eastAsia" w:ascii="宋体" w:hAnsi="宋体"/>
        </w:rPr>
        <w:t>和触摸屏：</w:t>
      </w:r>
      <w:r>
        <w:rPr>
          <w:rFonts w:ascii="宋体" w:hAnsi="宋体"/>
        </w:rPr>
        <w:t>1</w:t>
      </w:r>
      <w:r>
        <w:rPr>
          <w:rFonts w:hint="eastAsia" w:ascii="宋体" w:hAnsi="宋体"/>
        </w:rPr>
        <w:t>套 ，输入I点数1</w:t>
      </w:r>
      <w:r>
        <w:rPr>
          <w:rFonts w:ascii="宋体" w:hAnsi="宋体"/>
        </w:rPr>
        <w:t>2</w:t>
      </w:r>
      <w:r>
        <w:rPr>
          <w:rFonts w:hint="eastAsia" w:ascii="宋体" w:hAnsi="宋体"/>
        </w:rPr>
        <w:t>；输出</w:t>
      </w:r>
      <w:r>
        <w:rPr>
          <w:rFonts w:ascii="宋体" w:hAnsi="宋体"/>
        </w:rPr>
        <w:t>Q</w:t>
      </w:r>
      <w:r>
        <w:rPr>
          <w:rFonts w:hint="eastAsia" w:ascii="宋体" w:hAnsi="宋体"/>
        </w:rPr>
        <w:t>点数</w:t>
      </w:r>
      <w:r>
        <w:rPr>
          <w:rFonts w:ascii="宋体" w:hAnsi="宋体"/>
        </w:rPr>
        <w:t>8</w:t>
      </w:r>
      <w:r>
        <w:rPr>
          <w:rFonts w:hint="eastAsia" w:ascii="宋体" w:hAnsi="宋体"/>
        </w:rPr>
        <w:t>；显示界面</w:t>
      </w:r>
      <w:r>
        <w:rPr>
          <w:rFonts w:ascii="宋体" w:hAnsi="宋体"/>
        </w:rPr>
        <w:t>7</w:t>
      </w:r>
      <w:r>
        <w:rPr>
          <w:rFonts w:hint="eastAsia" w:ascii="宋体" w:hAnsi="宋体"/>
        </w:rPr>
        <w:t>寸</w:t>
      </w:r>
      <w:r>
        <w:rPr>
          <w:rFonts w:ascii="宋体" w:hAnsi="宋体"/>
        </w:rPr>
        <w:t>TIF</w:t>
      </w:r>
      <w:r>
        <w:rPr>
          <w:rFonts w:hint="eastAsia" w:ascii="宋体" w:hAnsi="宋体"/>
        </w:rPr>
        <w:t>真彩色</w:t>
      </w:r>
    </w:p>
    <w:p>
      <w:pPr>
        <w:pStyle w:val="2"/>
        <w:ind w:firstLine="440"/>
      </w:pP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w:t>
      </w:r>
      <w:r>
        <w:rPr>
          <w:rFonts w:ascii="宋体" w:hAnsi="宋体" w:cs="宋体"/>
          <w:sz w:val="21"/>
          <w:szCs w:val="21"/>
        </w:rPr>
        <w:t>4</w:t>
      </w:r>
      <w:r>
        <w:rPr>
          <w:rFonts w:hint="eastAsia" w:ascii="宋体" w:hAnsi="宋体" w:cs="宋体"/>
          <w:sz w:val="21"/>
          <w:szCs w:val="21"/>
        </w:rPr>
        <w:t>）工业变频器1个：额定功率≧</w:t>
      </w:r>
      <w:r>
        <w:rPr>
          <w:rFonts w:ascii="宋体" w:hAnsi="宋体" w:cs="宋体"/>
          <w:sz w:val="21"/>
          <w:szCs w:val="21"/>
        </w:rPr>
        <w:t>1.5</w:t>
      </w:r>
      <w:r>
        <w:rPr>
          <w:rFonts w:hint="eastAsia" w:ascii="宋体" w:hAnsi="宋体" w:cs="宋体"/>
          <w:sz w:val="21"/>
          <w:szCs w:val="21"/>
        </w:rPr>
        <w:t xml:space="preserve"> kW，有 60 秒 150 % 过载，I/O 接口：4DI/2DO/2AI，支持USS/MODBUS RTU总线通讯。支持多种不少于五种连接宏切换实现速度控制。</w:t>
      </w:r>
    </w:p>
    <w:p>
      <w:pPr>
        <w:spacing w:line="360" w:lineRule="auto"/>
        <w:ind w:firstLine="440" w:firstLineChars="200"/>
        <w:rPr>
          <w:rFonts w:ascii="宋体" w:hAnsi="宋体"/>
          <w:sz w:val="21"/>
          <w:szCs w:val="21"/>
        </w:rPr>
      </w:pPr>
      <w:r>
        <w:rPr>
          <w:rFonts w:hint="eastAsia" w:ascii="宋体" w:hAnsi="宋体"/>
        </w:rPr>
        <w:t>（5）步进驱动器：2台 ，2</w:t>
      </w:r>
      <w:r>
        <w:rPr>
          <w:rFonts w:ascii="宋体" w:hAnsi="宋体"/>
        </w:rPr>
        <w:t>4V</w:t>
      </w:r>
      <w:r>
        <w:rPr>
          <w:rFonts w:hint="eastAsia" w:ascii="宋体" w:hAnsi="宋体"/>
        </w:rPr>
        <w:t>电源</w:t>
      </w:r>
    </w:p>
    <w:p>
      <w:pPr>
        <w:spacing w:line="360" w:lineRule="auto"/>
        <w:ind w:firstLine="420" w:firstLineChars="200"/>
        <w:rPr>
          <w:rFonts w:ascii="宋体" w:hAnsi="宋体"/>
          <w:sz w:val="21"/>
          <w:szCs w:val="21"/>
        </w:rPr>
      </w:pPr>
      <w:r>
        <w:rPr>
          <w:rFonts w:hint="eastAsia" w:ascii="宋体" w:hAnsi="宋体" w:cs="宋体"/>
          <w:sz w:val="21"/>
          <w:szCs w:val="21"/>
        </w:rPr>
        <w:t>（</w:t>
      </w:r>
      <w:r>
        <w:rPr>
          <w:rFonts w:ascii="宋体" w:hAnsi="宋体" w:cs="宋体"/>
          <w:sz w:val="21"/>
          <w:szCs w:val="21"/>
        </w:rPr>
        <w:t>6</w:t>
      </w:r>
      <w:r>
        <w:rPr>
          <w:rFonts w:hint="eastAsia" w:ascii="宋体" w:hAnsi="宋体" w:cs="宋体"/>
          <w:sz w:val="21"/>
          <w:szCs w:val="21"/>
        </w:rPr>
        <w:t>）须配有拨码开关</w:t>
      </w:r>
      <w:r>
        <w:rPr>
          <w:rFonts w:ascii="宋体" w:hAnsi="宋体" w:cs="宋体"/>
          <w:sz w:val="21"/>
          <w:szCs w:val="21"/>
        </w:rPr>
        <w:t>4</w:t>
      </w:r>
      <w:r>
        <w:rPr>
          <w:rFonts w:hint="eastAsia" w:ascii="宋体" w:hAnsi="宋体" w:cs="宋体"/>
          <w:sz w:val="21"/>
          <w:szCs w:val="21"/>
        </w:rPr>
        <w:t>个、控制系统开关1个、急停按钮</w:t>
      </w:r>
      <w:r>
        <w:rPr>
          <w:rFonts w:ascii="宋体" w:hAnsi="宋体" w:cs="宋体"/>
          <w:sz w:val="21"/>
          <w:szCs w:val="21"/>
        </w:rPr>
        <w:t>2</w:t>
      </w:r>
      <w:r>
        <w:rPr>
          <w:rFonts w:hint="eastAsia" w:ascii="宋体" w:hAnsi="宋体" w:cs="宋体"/>
          <w:sz w:val="21"/>
          <w:szCs w:val="21"/>
        </w:rPr>
        <w:t>个、指示灯</w:t>
      </w:r>
      <w:r>
        <w:rPr>
          <w:rFonts w:ascii="宋体" w:hAnsi="宋体" w:cs="宋体"/>
          <w:sz w:val="21"/>
          <w:szCs w:val="21"/>
        </w:rPr>
        <w:t>3</w:t>
      </w:r>
      <w:r>
        <w:rPr>
          <w:rFonts w:hint="eastAsia" w:ascii="宋体" w:hAnsi="宋体" w:cs="宋体"/>
          <w:sz w:val="21"/>
          <w:szCs w:val="21"/>
        </w:rPr>
        <w:t>个、转换开关1个、保护器1个、接触器2个、继电器5个、24VDC/5A直流电源1个、RJ45接口模块1个、外置接口模块1个等电气部件。</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w:t>
      </w:r>
      <w:r>
        <w:rPr>
          <w:rFonts w:ascii="宋体" w:hAnsi="宋体" w:cs="宋体"/>
          <w:sz w:val="21"/>
          <w:szCs w:val="21"/>
        </w:rPr>
        <w:t>7</w:t>
      </w:r>
      <w:r>
        <w:rPr>
          <w:rFonts w:hint="eastAsia" w:ascii="宋体" w:hAnsi="宋体" w:cs="宋体"/>
          <w:sz w:val="21"/>
          <w:szCs w:val="21"/>
        </w:rPr>
        <w:t>）外部操作面板1块，具有工作状态液晶显示、工作模式控制、运行和停止控制、运行速度控制控制等功能。</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3、基本实训组件要求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（1）变频驱动电机1台：额定转速≧1415r/min，5-50Hz/1.59Nm，输入电压AC380V,应符合IEC60034-1标准；要求为不低于SEW、ABB、Siemens品牌品质产品。</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（2）机械部件：配有轴、联轴器、轴承座等公用机械零部件。轴、联轴器、轴承座组件配置如下：</w:t>
      </w:r>
    </w:p>
    <w:p>
      <w:pPr>
        <w:spacing w:after="0" w:line="400" w:lineRule="exact"/>
        <w:ind w:firstLine="420" w:firstLineChars="200"/>
        <w:rPr>
          <w:rFonts w:ascii="宋体" w:hAnsi="宋体" w:cs="宋体"/>
          <w:sz w:val="21"/>
          <w:szCs w:val="21"/>
        </w:rPr>
      </w:pPr>
      <w:r>
        <w:rPr>
          <w:rFonts w:hint="eastAsia" w:ascii="宋体" w:hAnsi="宋体" w:cs="宋体"/>
          <w:sz w:val="21"/>
          <w:szCs w:val="21"/>
        </w:rPr>
        <w:t>1）轴：带键槽，两种规格，总数共不少于5根，精度等级不低于1.6μm；</w:t>
      </w:r>
    </w:p>
    <w:p>
      <w:pPr>
        <w:spacing w:after="0" w:line="400" w:lineRule="exact"/>
        <w:ind w:firstLine="420" w:firstLineChars="200"/>
        <w:rPr>
          <w:rFonts w:ascii="宋体" w:hAnsi="宋体" w:cs="宋体"/>
          <w:sz w:val="21"/>
          <w:szCs w:val="21"/>
        </w:rPr>
      </w:pPr>
      <w:r>
        <w:rPr>
          <w:rFonts w:hint="eastAsia" w:ascii="宋体" w:hAnsi="宋体" w:cs="宋体"/>
          <w:sz w:val="21"/>
          <w:szCs w:val="21"/>
        </w:rPr>
        <w:t>2）联轴器：数量不少于7个,不少于梅花联轴器、凸缘联轴器等6种类型配置；</w:t>
      </w:r>
    </w:p>
    <w:p>
      <w:pPr>
        <w:spacing w:after="0" w:line="400" w:lineRule="exact"/>
        <w:ind w:firstLine="420" w:firstLineChars="200"/>
        <w:rPr>
          <w:rFonts w:ascii="宋体" w:hAnsi="宋体" w:cs="宋体"/>
          <w:sz w:val="21"/>
          <w:szCs w:val="21"/>
        </w:rPr>
      </w:pPr>
      <w:r>
        <w:rPr>
          <w:rFonts w:hint="eastAsia" w:ascii="宋体" w:hAnsi="宋体" w:cs="宋体"/>
          <w:sz w:val="21"/>
          <w:szCs w:val="21"/>
        </w:rPr>
        <w:t>3）轴承座：自动调心，数量不少于10个，要求为全球一流品牌品质；</w:t>
      </w:r>
    </w:p>
    <w:p>
      <w:pPr>
        <w:spacing w:after="0" w:line="400" w:lineRule="exact"/>
        <w:ind w:left="502" w:leftChars="228"/>
        <w:rPr>
          <w:rFonts w:ascii="宋体" w:hAnsi="宋体" w:cs="宋体"/>
          <w:sz w:val="21"/>
          <w:szCs w:val="21"/>
        </w:rPr>
      </w:pPr>
      <w:r>
        <w:rPr>
          <w:rFonts w:hint="eastAsia" w:ascii="宋体" w:hAnsi="宋体" w:cs="宋体"/>
          <w:sz w:val="21"/>
          <w:szCs w:val="21"/>
        </w:rPr>
        <w:t>4）轴承座垫高块：总数共不少于10个，尺寸：≧170×40×57mm；</w:t>
      </w:r>
    </w:p>
    <w:p>
      <w:pPr>
        <w:spacing w:after="0" w:line="400" w:lineRule="exact"/>
        <w:ind w:left="502" w:leftChars="228"/>
        <w:rPr>
          <w:rFonts w:ascii="宋体" w:hAnsi="宋体" w:cs="宋体"/>
          <w:sz w:val="21"/>
          <w:szCs w:val="21"/>
        </w:rPr>
      </w:pPr>
      <w:r>
        <w:rPr>
          <w:rFonts w:hint="eastAsia" w:ascii="宋体" w:hAnsi="宋体" w:cs="宋体"/>
          <w:sz w:val="21"/>
          <w:szCs w:val="21"/>
        </w:rPr>
        <w:t>5）电机安装座1套；</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4、机械传动组件（一）要求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配有带传动、链传动、齿轮传动相关部件，可完成带轮、链轮和齿轮安装调整，以及皮带张紧力、链条松紧和齿轮齿隙的安装调整实训。</w:t>
      </w:r>
    </w:p>
    <w:p>
      <w:pPr>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（1）带传动部分要求</w:t>
      </w:r>
    </w:p>
    <w:p>
      <w:pPr>
        <w:adjustRightInd/>
        <w:snapToGrid/>
        <w:spacing w:line="400" w:lineRule="exact"/>
        <w:rPr>
          <w:rFonts w:ascii="宋体" w:hAnsi="宋体" w:cs="宋体"/>
          <w:sz w:val="21"/>
          <w:szCs w:val="21"/>
        </w:rPr>
      </w:pPr>
      <w:r>
        <w:rPr>
          <w:rFonts w:hint="eastAsia" w:ascii="宋体" w:hAnsi="宋体" w:cs="宋体"/>
          <w:sz w:val="21"/>
          <w:szCs w:val="21"/>
        </w:rPr>
        <w:t>主要由V型皮带轮、V型皮带、弹性张紧器等组成。配置如下：</w:t>
      </w:r>
    </w:p>
    <w:p>
      <w:pPr>
        <w:spacing w:after="0" w:line="400" w:lineRule="exact"/>
        <w:ind w:firstLine="420" w:firstLineChars="200"/>
        <w:rPr>
          <w:rFonts w:ascii="宋体" w:hAnsi="宋体" w:cs="宋体"/>
          <w:sz w:val="21"/>
          <w:szCs w:val="21"/>
        </w:rPr>
      </w:pPr>
      <w:r>
        <w:rPr>
          <w:rFonts w:hint="eastAsia" w:ascii="宋体" w:hAnsi="宋体" w:cs="宋体"/>
          <w:sz w:val="21"/>
          <w:szCs w:val="21"/>
        </w:rPr>
        <w:t>1）V型槽皮带轮：单槽，3种不同规格，数量共≥3个；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w:t>
      </w:r>
      <w:r>
        <w:rPr>
          <w:rFonts w:hint="eastAsia" w:ascii="宋体" w:hAnsi="宋体" w:cs="宋体"/>
          <w:sz w:val="21"/>
          <w:szCs w:val="21"/>
          <w:lang w:bidi="ar"/>
        </w:rPr>
        <w:t>弹性张紧器</w:t>
      </w:r>
      <w:r>
        <w:rPr>
          <w:rFonts w:hint="eastAsia" w:ascii="宋体" w:hAnsi="宋体" w:cs="宋体"/>
          <w:sz w:val="21"/>
          <w:szCs w:val="21"/>
        </w:rPr>
        <w:t>1个；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3）V型皮带1条，外周长≧1m；</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（2）链传动部分要求</w:t>
      </w:r>
    </w:p>
    <w:p>
      <w:pPr>
        <w:spacing w:after="0" w:line="400" w:lineRule="exact"/>
        <w:ind w:firstLine="420" w:firstLineChars="200"/>
        <w:rPr>
          <w:rFonts w:ascii="宋体" w:hAnsi="宋体" w:cs="宋体"/>
          <w:sz w:val="21"/>
          <w:szCs w:val="21"/>
        </w:rPr>
      </w:pPr>
      <w:r>
        <w:rPr>
          <w:rFonts w:hint="eastAsia" w:ascii="宋体" w:hAnsi="宋体" w:cs="宋体"/>
          <w:sz w:val="21"/>
          <w:szCs w:val="21"/>
        </w:rPr>
        <w:t>主要由链轮、单排滚子传动链条、链条接头、</w:t>
      </w:r>
      <w:r>
        <w:rPr>
          <w:rFonts w:hint="eastAsia" w:ascii="宋体" w:hAnsi="宋体" w:cs="宋体"/>
          <w:sz w:val="21"/>
          <w:szCs w:val="21"/>
          <w:lang w:bidi="ar"/>
        </w:rPr>
        <w:t>弹性张紧链轮组</w:t>
      </w:r>
      <w:r>
        <w:rPr>
          <w:rFonts w:hint="eastAsia" w:ascii="宋体" w:hAnsi="宋体" w:cs="宋体"/>
          <w:sz w:val="21"/>
          <w:szCs w:val="21"/>
        </w:rPr>
        <w:t>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1）单排滚子链，长短各1根；</w:t>
      </w:r>
    </w:p>
    <w:p>
      <w:pPr>
        <w:spacing w:after="0" w:line="400" w:lineRule="exact"/>
        <w:ind w:firstLine="420" w:firstLineChars="200"/>
        <w:rPr>
          <w:rFonts w:ascii="宋体" w:hAnsi="宋体" w:cs="宋体"/>
          <w:sz w:val="21"/>
          <w:szCs w:val="21"/>
        </w:rPr>
      </w:pPr>
      <w:r>
        <w:rPr>
          <w:rFonts w:hint="eastAsia" w:ascii="宋体" w:hAnsi="宋体" w:cs="宋体"/>
          <w:sz w:val="21"/>
          <w:szCs w:val="21"/>
        </w:rPr>
        <w:t>2）单排链轮，带键槽，3种规格，总数量3个；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3）链条接头≧5个；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4）张紧链轮组1套；</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（3）齿轮传动部分要求</w:t>
      </w:r>
    </w:p>
    <w:p>
      <w:pPr>
        <w:spacing w:after="0" w:line="400" w:lineRule="exact"/>
        <w:ind w:firstLine="420" w:firstLineChars="200"/>
        <w:rPr>
          <w:rFonts w:ascii="宋体" w:hAnsi="宋体" w:cs="宋体"/>
          <w:sz w:val="21"/>
          <w:szCs w:val="21"/>
        </w:rPr>
      </w:pPr>
      <w:r>
        <w:rPr>
          <w:rFonts w:hint="eastAsia" w:ascii="宋体" w:hAnsi="宋体" w:cs="宋体"/>
          <w:sz w:val="21"/>
          <w:szCs w:val="21"/>
        </w:rPr>
        <w:t>1）直齿圆柱齿轮,要求模数1.5齿轮2种规格，总数量≧2个；要求模数2齿轮4种规格，总数量5个；</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5、机械传动组件（二）要求</w:t>
      </w:r>
    </w:p>
    <w:p>
      <w:pPr>
        <w:widowControl w:val="0"/>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在机械传动组件1基础上，组件提供了更多样式的带传动、链传动和齿轮传动形式，配置如下：</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（1）带传动部分要求</w:t>
      </w:r>
    </w:p>
    <w:p>
      <w:pPr>
        <w:widowControl w:val="0"/>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主要由级进V型带轮、同步带轮、锥套式同步带轮、</w:t>
      </w:r>
      <w:r>
        <w:rPr>
          <w:rFonts w:hint="eastAsia" w:ascii="宋体" w:hAnsi="宋体" w:cs="宋体"/>
          <w:sz w:val="21"/>
          <w:szCs w:val="21"/>
          <w:lang w:bidi="ar"/>
        </w:rPr>
        <w:t>组合式变径带轮，锥套式</w:t>
      </w:r>
      <w:r>
        <w:rPr>
          <w:rFonts w:hint="eastAsia" w:ascii="宋体" w:hAnsi="宋体" w:cs="宋体"/>
          <w:sz w:val="21"/>
          <w:szCs w:val="21"/>
        </w:rPr>
        <w:t>双槽皮带轮、配套皮带等组成。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1）级进V型带轮：≥2槽,数量不少于2个；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2）同步带轮2个；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3）锥套式同步带轮：2种规格，总数不少于2个；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4）变径带轮1套；</w:t>
      </w:r>
    </w:p>
    <w:p>
      <w:pPr>
        <w:spacing w:after="0" w:line="400" w:lineRule="exact"/>
        <w:ind w:firstLine="420" w:firstLineChars="200"/>
        <w:rPr>
          <w:rFonts w:ascii="宋体" w:hAnsi="宋体" w:cs="宋体"/>
          <w:sz w:val="21"/>
          <w:szCs w:val="21"/>
        </w:rPr>
      </w:pPr>
      <w:r>
        <w:rPr>
          <w:rFonts w:hint="eastAsia" w:ascii="宋体" w:hAnsi="宋体" w:cs="宋体"/>
          <w:sz w:val="21"/>
          <w:szCs w:val="21"/>
        </w:rPr>
        <w:t>5）双槽皮带轮：2种规格，总数不少于2个；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6）V型皮带：2种规格，总数不少于3根；</w:t>
      </w:r>
    </w:p>
    <w:p>
      <w:pPr>
        <w:spacing w:after="0" w:line="400" w:lineRule="exact"/>
        <w:ind w:firstLine="420" w:firstLineChars="200"/>
        <w:rPr>
          <w:rFonts w:ascii="宋体" w:hAnsi="宋体" w:cs="宋体"/>
          <w:sz w:val="21"/>
          <w:szCs w:val="21"/>
        </w:rPr>
      </w:pPr>
      <w:r>
        <w:rPr>
          <w:rFonts w:hint="eastAsia" w:ascii="宋体" w:hAnsi="宋体" w:cs="宋体"/>
          <w:sz w:val="21"/>
          <w:szCs w:val="21"/>
        </w:rPr>
        <w:t>7）同步带：2种规格，总数不少于2根；</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（2）链传动部分要求</w:t>
      </w:r>
    </w:p>
    <w:p>
      <w:pPr>
        <w:widowControl w:val="0"/>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主要由双排链轮、配套双排滚子链条、双排滚子链条接头及</w:t>
      </w:r>
      <w:r>
        <w:rPr>
          <w:rFonts w:hint="eastAsia" w:ascii="宋体" w:hAnsi="宋体" w:cs="宋体"/>
          <w:sz w:val="21"/>
          <w:szCs w:val="21"/>
          <w:lang w:bidi="ar"/>
        </w:rPr>
        <w:t>双排张紧链轮组件</w:t>
      </w:r>
      <w:r>
        <w:rPr>
          <w:rFonts w:hint="eastAsia" w:ascii="宋体" w:hAnsi="宋体" w:cs="宋体"/>
          <w:sz w:val="21"/>
          <w:szCs w:val="21"/>
        </w:rPr>
        <w:t>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1）双排链轮：2种规格，数量不少于2个；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2）双链条1套，长≧900mm；</w:t>
      </w:r>
    </w:p>
    <w:p>
      <w:pPr>
        <w:spacing w:after="0" w:line="400" w:lineRule="exact"/>
        <w:ind w:firstLine="420" w:firstLineChars="200"/>
        <w:rPr>
          <w:rFonts w:ascii="宋体" w:hAnsi="宋体" w:cs="宋体"/>
          <w:sz w:val="21"/>
          <w:szCs w:val="21"/>
        </w:rPr>
      </w:pPr>
      <w:r>
        <w:rPr>
          <w:rFonts w:hint="eastAsia" w:ascii="宋体" w:hAnsi="宋体" w:cs="宋体"/>
          <w:sz w:val="21"/>
          <w:szCs w:val="21"/>
        </w:rPr>
        <w:t>3）链条接头不少于5个；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4）双排张紧链轮组件1个；</w:t>
      </w:r>
    </w:p>
    <w:p>
      <w:pPr>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（3）齿轮传动部分要求</w:t>
      </w:r>
    </w:p>
    <w:p>
      <w:pPr>
        <w:adjustRightInd/>
        <w:snapToGrid/>
        <w:spacing w:line="400" w:lineRule="exact"/>
        <w:ind w:firstLine="420" w:firstLineChars="200"/>
        <w:textAlignment w:val="center"/>
        <w:rPr>
          <w:rFonts w:ascii="宋体" w:hAnsi="宋体" w:cs="宋体"/>
          <w:sz w:val="21"/>
          <w:szCs w:val="21"/>
          <w:lang w:bidi="ar"/>
        </w:rPr>
      </w:pPr>
      <w:r>
        <w:rPr>
          <w:rFonts w:hint="eastAsia" w:ascii="宋体" w:hAnsi="宋体" w:cs="宋体"/>
          <w:sz w:val="21"/>
          <w:szCs w:val="21"/>
          <w:lang w:bidi="ar"/>
        </w:rPr>
        <w:t>主要由直齿锥齿轮、蜗轮蜗杆、斜齿轮、安装组件等组成。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1）锥齿轮2个；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2）蜗杆1个；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3）蜗轮1个；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4）斜齿轮，左旋和右旋两种，数量不少于3个；</w:t>
      </w:r>
    </w:p>
    <w:p>
      <w:pPr>
        <w:spacing w:after="0" w:line="400" w:lineRule="exact"/>
        <w:ind w:firstLine="420" w:firstLineChars="200"/>
        <w:rPr>
          <w:rFonts w:ascii="宋体" w:hAnsi="宋体" w:cs="宋体"/>
          <w:sz w:val="21"/>
          <w:szCs w:val="21"/>
        </w:rPr>
      </w:pPr>
      <w:r>
        <w:rPr>
          <w:rFonts w:hint="eastAsia" w:ascii="宋体" w:hAnsi="宋体" w:cs="宋体"/>
          <w:sz w:val="21"/>
          <w:szCs w:val="21"/>
        </w:rPr>
        <w:t>5）蜗轮蜗杆安装组件1套</w:t>
      </w:r>
    </w:p>
    <w:p>
      <w:pPr>
        <w:spacing w:after="0" w:line="400" w:lineRule="exact"/>
        <w:ind w:firstLine="420" w:firstLineChars="200"/>
        <w:rPr>
          <w:rFonts w:ascii="宋体" w:hAnsi="宋体" w:cs="宋体"/>
          <w:sz w:val="21"/>
          <w:szCs w:val="21"/>
        </w:rPr>
      </w:pPr>
      <w:r>
        <w:rPr>
          <w:rFonts w:hint="eastAsia" w:ascii="宋体" w:hAnsi="宋体" w:cs="宋体"/>
          <w:sz w:val="21"/>
          <w:szCs w:val="21"/>
        </w:rPr>
        <w:t>6）轴环10个</w:t>
      </w:r>
    </w:p>
    <w:p>
      <w:pPr>
        <w:adjustRightInd/>
        <w:snapToGrid/>
        <w:spacing w:line="400" w:lineRule="exact"/>
        <w:ind w:firstLine="422" w:firstLineChars="200"/>
        <w:outlineLvl w:val="2"/>
        <w:rPr>
          <w:rFonts w:ascii="宋体" w:hAnsi="宋体" w:cs="宋体"/>
          <w:b/>
          <w:bCs/>
          <w:sz w:val="21"/>
          <w:szCs w:val="21"/>
        </w:rPr>
      </w:pPr>
      <w:r>
        <w:rPr>
          <w:rFonts w:hint="eastAsia" w:ascii="宋体" w:hAnsi="宋体" w:cs="宋体"/>
          <w:b/>
          <w:bCs/>
          <w:sz w:val="21"/>
          <w:szCs w:val="21"/>
        </w:rPr>
        <w:t>6、实训模型及实训套件要求</w:t>
      </w:r>
    </w:p>
    <w:p>
      <w:pPr>
        <w:widowControl w:val="0"/>
        <w:adjustRightInd/>
        <w:snapToGrid/>
        <w:spacing w:line="400" w:lineRule="exact"/>
        <w:ind w:firstLine="422" w:firstLineChars="200"/>
        <w:rPr>
          <w:rFonts w:ascii="宋体" w:hAnsi="宋体" w:cs="宋体"/>
          <w:b/>
          <w:bCs/>
          <w:sz w:val="21"/>
          <w:szCs w:val="21"/>
          <w:lang w:bidi="ar"/>
        </w:rPr>
      </w:pPr>
      <w:r>
        <w:rPr>
          <w:rFonts w:hint="eastAsia" w:ascii="宋体" w:hAnsi="宋体" w:cs="宋体"/>
          <w:b/>
          <w:bCs/>
          <w:sz w:val="21"/>
          <w:szCs w:val="21"/>
          <w:lang w:bidi="ar"/>
        </w:rPr>
        <w:t>（</w:t>
      </w:r>
      <w:r>
        <w:rPr>
          <w:rFonts w:ascii="宋体" w:hAnsi="宋体" w:cs="宋体"/>
          <w:b/>
          <w:bCs/>
          <w:sz w:val="21"/>
          <w:szCs w:val="21"/>
          <w:lang w:bidi="ar"/>
        </w:rPr>
        <w:t>1</w:t>
      </w:r>
      <w:r>
        <w:rPr>
          <w:rFonts w:hint="eastAsia" w:ascii="宋体" w:hAnsi="宋体" w:cs="宋体"/>
          <w:b/>
          <w:bCs/>
          <w:sz w:val="21"/>
          <w:szCs w:val="21"/>
          <w:lang w:bidi="ar"/>
        </w:rPr>
        <w:t>）简易齿轮箱模型</w:t>
      </w:r>
      <w:r>
        <w:rPr>
          <w:rFonts w:hint="eastAsia" w:ascii="宋体" w:hAnsi="宋体" w:cs="宋体"/>
          <w:b/>
          <w:bCs/>
          <w:sz w:val="21"/>
          <w:szCs w:val="21"/>
        </w:rPr>
        <w:t>要求</w:t>
      </w:r>
    </w:p>
    <w:p>
      <w:pPr>
        <w:ind w:firstLine="420" w:firstLineChars="200"/>
        <w:rPr>
          <w:rFonts w:ascii="宋体" w:hAnsi="宋体" w:cs="宋体"/>
          <w:sz w:val="21"/>
          <w:szCs w:val="21"/>
        </w:rPr>
      </w:pPr>
      <w:r>
        <w:rPr>
          <w:rFonts w:hint="eastAsia" w:ascii="宋体" w:hAnsi="宋体" w:cs="宋体"/>
          <w:sz w:val="21"/>
          <w:szCs w:val="21"/>
        </w:rPr>
        <w:t>主要由主轴、透盖、侧座、简易齿轮、上盖、侧盖、隔环、垫片、轴承套筒、骨架油封、孔用弹性挡圈、孔用弹性挡圈、轴用弹性、挡圈、圆螺母用止动垫圈、圆螺母、圆柱滚子轴承、调心滚子轴承、O型圈等零部件组成。</w:t>
      </w:r>
    </w:p>
    <w:p>
      <w:pPr>
        <w:widowControl w:val="0"/>
        <w:adjustRightInd/>
        <w:snapToGrid/>
        <w:spacing w:line="400" w:lineRule="exact"/>
        <w:ind w:firstLine="422" w:firstLineChars="200"/>
        <w:outlineLvl w:val="2"/>
        <w:rPr>
          <w:rFonts w:ascii="宋体" w:hAnsi="宋体" w:cs="宋体"/>
          <w:b/>
          <w:bCs/>
          <w:sz w:val="21"/>
          <w:szCs w:val="21"/>
          <w:lang w:bidi="ar"/>
        </w:rPr>
      </w:pPr>
      <w:r>
        <w:rPr>
          <w:rFonts w:hint="eastAsia" w:ascii="宋体" w:hAnsi="宋体" w:cs="宋体"/>
          <w:b/>
          <w:bCs/>
          <w:sz w:val="21"/>
          <w:szCs w:val="21"/>
          <w:lang w:bidi="ar"/>
        </w:rPr>
        <w:t>（</w:t>
      </w:r>
      <w:r>
        <w:rPr>
          <w:rFonts w:ascii="宋体" w:hAnsi="宋体" w:cs="宋体"/>
          <w:b/>
          <w:bCs/>
          <w:sz w:val="21"/>
          <w:szCs w:val="21"/>
          <w:lang w:bidi="ar"/>
        </w:rPr>
        <w:t>2</w:t>
      </w:r>
      <w:r>
        <w:rPr>
          <w:rFonts w:hint="eastAsia" w:ascii="宋体" w:hAnsi="宋体" w:cs="宋体"/>
          <w:b/>
          <w:bCs/>
          <w:sz w:val="21"/>
          <w:szCs w:val="21"/>
          <w:lang w:bidi="ar"/>
        </w:rPr>
        <w:t>）双层滚珠丝杠滑台模型要求</w:t>
      </w:r>
    </w:p>
    <w:p>
      <w:pPr>
        <w:spacing w:line="360" w:lineRule="auto"/>
        <w:ind w:firstLine="420" w:firstLineChars="200"/>
      </w:pPr>
      <w:r>
        <w:rPr>
          <w:rFonts w:hint="eastAsia" w:ascii="宋体" w:hAnsi="宋体" w:cs="宋体"/>
          <w:sz w:val="21"/>
          <w:szCs w:val="21"/>
        </w:rPr>
        <w:t>模型</w:t>
      </w:r>
      <w:r>
        <w:t>分上下两层</w:t>
      </w:r>
      <w:r>
        <w:rPr>
          <w:rFonts w:hint="eastAsia"/>
        </w:rPr>
        <w:t>，</w:t>
      </w:r>
      <w:r>
        <w:rPr>
          <w:rFonts w:hint="eastAsia" w:ascii="宋体" w:hAnsi="宋体" w:cs="宋体"/>
          <w:sz w:val="21"/>
          <w:szCs w:val="21"/>
        </w:rPr>
        <w:t>主要由底板、丝杠副、固定端轴承座、活动端轴承座、直线导轨、滑台顶板、丝杠螺母固定块、滑块垫高块、直线导轨限位块、梅花联轴器、电机座、步进电机等零部件组成。</w:t>
      </w:r>
      <w:r>
        <w:rPr>
          <w:rFonts w:hint="eastAsia"/>
        </w:rPr>
        <w:t>分别由两台步进电机</w:t>
      </w:r>
      <w:r>
        <w:t>控制，实现工作台</w:t>
      </w:r>
      <w:r>
        <w:rPr>
          <w:rFonts w:hint="eastAsia"/>
        </w:rPr>
        <w:t>手动</w:t>
      </w:r>
      <w:r>
        <w:t>往返运行</w:t>
      </w:r>
      <w:r>
        <w:rPr>
          <w:rFonts w:hint="eastAsia"/>
        </w:rPr>
        <w:t>、回原点运行、单段运行、自动运行等功能。同时</w:t>
      </w:r>
      <w:r>
        <w:t>工作台面装有行程开关，实现限位保护功能</w:t>
      </w:r>
      <w:r>
        <w:rPr>
          <w:rFonts w:hint="eastAsia"/>
        </w:rPr>
        <w:t>。</w:t>
      </w:r>
      <w:r>
        <w:t>通过实训能够清楚零件之间的装配关系，机构的运动原理及功能。掌握基本零件的装配方法及工艺，如直线导轨副、滚珠丝杆副、</w:t>
      </w:r>
      <w:r>
        <w:rPr>
          <w:rFonts w:hint="eastAsia"/>
        </w:rPr>
        <w:t>摩擦</w:t>
      </w:r>
      <w:r>
        <w:t>副、相关轴承的安装调整以及相关测量工具的应用。</w:t>
      </w:r>
    </w:p>
    <w:p>
      <w:pPr>
        <w:pStyle w:val="2"/>
        <w:ind w:firstLine="440"/>
        <w:rPr>
          <w:rFonts w:hint="eastAsia"/>
        </w:rPr>
      </w:pPr>
      <w:r>
        <w:rPr>
          <w:rFonts w:hint="eastAsia"/>
        </w:rPr>
        <w:t>触摸屏控制要求具有绝对值、增量值编程两种模式实现定长加工功能，同时具有回零点、程序自动、循环自动加工等数控标准功能。</w:t>
      </w:r>
    </w:p>
    <w:p>
      <w:pPr>
        <w:widowControl w:val="0"/>
        <w:adjustRightInd/>
        <w:snapToGrid/>
        <w:spacing w:line="400" w:lineRule="exact"/>
        <w:ind w:firstLine="422" w:firstLineChars="200"/>
        <w:rPr>
          <w:rFonts w:ascii="宋体" w:hAnsi="宋体" w:cs="宋体"/>
          <w:b/>
          <w:bCs/>
          <w:sz w:val="21"/>
          <w:szCs w:val="21"/>
          <w:lang w:bidi="ar"/>
        </w:rPr>
      </w:pPr>
      <w:r>
        <w:rPr>
          <w:rFonts w:hint="eastAsia" w:ascii="宋体" w:hAnsi="宋体" w:cs="宋体"/>
          <w:b/>
          <w:bCs/>
          <w:sz w:val="21"/>
          <w:szCs w:val="21"/>
          <w:lang w:bidi="ar"/>
        </w:rPr>
        <w:t>（</w:t>
      </w:r>
      <w:r>
        <w:rPr>
          <w:rFonts w:ascii="宋体" w:hAnsi="宋体" w:cs="宋体"/>
          <w:b/>
          <w:bCs/>
          <w:sz w:val="21"/>
          <w:szCs w:val="21"/>
          <w:lang w:bidi="ar"/>
        </w:rPr>
        <w:t>3</w:t>
      </w:r>
      <w:r>
        <w:rPr>
          <w:rFonts w:hint="eastAsia" w:ascii="宋体" w:hAnsi="宋体" w:cs="宋体"/>
          <w:b/>
          <w:bCs/>
          <w:sz w:val="21"/>
          <w:szCs w:val="21"/>
          <w:lang w:bidi="ar"/>
        </w:rPr>
        <w:t>）机床主轴模型要求</w:t>
      </w:r>
    </w:p>
    <w:p>
      <w:pPr>
        <w:spacing w:after="0" w:line="400" w:lineRule="exact"/>
        <w:ind w:firstLine="420" w:firstLineChars="200"/>
        <w:rPr>
          <w:rFonts w:ascii="宋体" w:hAnsi="宋体" w:cs="宋体"/>
          <w:sz w:val="21"/>
          <w:szCs w:val="21"/>
        </w:rPr>
      </w:pPr>
      <w:r>
        <w:rPr>
          <w:rFonts w:hint="eastAsia" w:ascii="宋体" w:hAnsi="宋体" w:cs="宋体"/>
          <w:sz w:val="21"/>
          <w:szCs w:val="21"/>
        </w:rPr>
        <w:t>主要由模拟主轴、轴承（角接触轴承和深沟球轴承两种）及轴承座、轴承座垫块（带调整装置）、底板等组成，可由机械传动组件驱动，与滚珠丝杆直线滑台配合实现工件的模拟加工，可完成主轴的轴向窜动、径向跳动的检测及调整实训。要求本模型可以与双层滚珠丝杆滑台通过控制系统编程实现单轴联动、双轴联动等功能，适合教学实训。</w:t>
      </w:r>
    </w:p>
    <w:p>
      <w:pPr>
        <w:spacing w:line="360" w:lineRule="auto"/>
        <w:ind w:firstLine="420" w:firstLineChars="200"/>
        <w:rPr>
          <w:rFonts w:hint="eastAsia" w:ascii="宋体" w:hAnsi="宋体"/>
          <w:sz w:val="21"/>
          <w:szCs w:val="21"/>
        </w:rPr>
      </w:pPr>
      <w:r>
        <w:rPr>
          <w:rFonts w:hint="eastAsia" w:ascii="宋体" w:hAnsi="宋体" w:cs="宋体"/>
          <w:sz w:val="21"/>
          <w:szCs w:val="21"/>
          <w:lang w:bidi="ar"/>
        </w:rPr>
        <w:t>机床主轴运动</w:t>
      </w:r>
      <w:r>
        <w:rPr>
          <w:rFonts w:hint="eastAsia"/>
        </w:rPr>
        <w:t>要求具有两种控制方式：触摸屏控制和面板四端子控制，</w:t>
      </w:r>
      <w:r>
        <w:rPr>
          <w:rFonts w:hint="eastAsia" w:ascii="宋体" w:hAnsi="宋体"/>
          <w:sz w:val="21"/>
          <w:szCs w:val="21"/>
        </w:rPr>
        <w:t>两种方式通过更换连接宏开关切换。</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 xml:space="preserve">7、配件（含工具及量具）要求 </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7.1工具要求</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主要配套工具不低于SATA、STANLEY等品牌产品品质，主要配置及规格如下，</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（1）橡胶锤,16oz，1把；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（2）铁锤,规格：1磅，全长L=330mm，0.7kg；1把；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（3）紫铜棒,Ø14-Ø18/250mm，1把；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（4）内六角扳手,9件套，加长球头，1套；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（5）扭力扳手,扭力范围5-25N·m，驱动头3/8"，L=257mm，1套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（6）棘轮套筒扳手套装,长度L=197mm，配7件六角旋具套筒,具备快速脱落功能，1套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（7）皮带扳手,可调式橡皮带，15-150mm，1把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（8）截链器,适用08B单、双排链,1把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（9）内卡簧钳,7寸,卡簧范围19-60mm，头部尺寸Ø1.80－0.3mm，净重0.18kg，1把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（10）外卡簧钳,5寸，卡簧范围10-22mm，头部尺寸Ø1.30－0.3mm，净重0.18kg；7寸,卡簧范围19-60mm，头部尺寸Ø1.30－0.3mm，净重0.19kg；各1把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（11）板锉,中齿，6寸,1把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（12）什锦锉,5件套，长180mm,圆杆直径5mm，重0.17kg,1套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（13）一字、十字螺丝刀,非对称棱角、PP+TPR软胶材质手柄、S2材质表面水银雾电镀刀杆，各1把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（14）钩头扳手,38-42、45-52,各1把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（15）二爪拉马,6寸,1只</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（16）黄油枪,工作压力4500PSi,高强度耐压锌合金压铸头、热处理弹簧,1把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（17）油枪（含机油）,250ml,1把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（18）不锈钢调整垫片A型,6种厚度规格，每种各10片</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（19）尖嘴钳，6寸,1把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（20）开口扳手套组，8件套，外尺寸（宽*长）：13*30cm,重1.2kg,1套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（21）活动扳手,1把，10寸</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（22）活动扳手,1把，12寸</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（23）平行度测量套装，1套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7.2量具要求</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主要配套量具不低于INSIZE品牌产品品质，主要配置及规格如下，</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（1）钢直尺，0-500mm，1把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（2）卷尺，3米，1把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（3）组合角尺，300mm，1把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（4）数显游标卡尺，0-150mm，1把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（5）百分表，0-10mm，1套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（6）杠杠百分表，0-0.8mm,分度值0.01mm，1套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（7）万向磁力表座， 夹持孔径φ8mm带燕尾，1套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（8）袖珍磁力表座，夹持孔径φ8mm带燕尾，1套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（9）塞尺，0.02-1.00mm，1套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（10）皮尺，5m，1根</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（11）笔式皮带张力计，≥130N，1把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（12）小型高精度机械百分表，2个</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（13）专用表架夹具、表杆（三种长度规格） 1套</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8、钳工操作台要求</w:t>
      </w:r>
    </w:p>
    <w:p>
      <w:pPr>
        <w:spacing w:line="370" w:lineRule="exact"/>
        <w:ind w:firstLine="454"/>
        <w:rPr>
          <w:rFonts w:ascii="宋体" w:hAnsi="宋体"/>
          <w:spacing w:val="-2"/>
          <w:sz w:val="23"/>
        </w:rPr>
      </w:pPr>
      <w:r>
        <w:rPr>
          <w:rFonts w:hint="eastAsia" w:ascii="宋体" w:hAnsi="宋体" w:cs="宋体"/>
          <w:spacing w:val="-2"/>
          <w:sz w:val="21"/>
          <w:szCs w:val="21"/>
        </w:rPr>
        <w:t>钳工操作台</w:t>
      </w:r>
      <w:r>
        <w:rPr>
          <w:rFonts w:hint="eastAsia" w:ascii="宋体" w:hAnsi="宋体"/>
          <w:spacing w:val="-2"/>
          <w:sz w:val="23"/>
        </w:rPr>
        <w:t>铁质双层亚光密纹喷塑结构，底脚宽100mm，材料厚度2mm，承重1</w:t>
      </w:r>
      <w:r>
        <w:rPr>
          <w:rFonts w:ascii="宋体" w:hAnsi="宋体"/>
          <w:spacing w:val="-2"/>
          <w:sz w:val="23"/>
        </w:rPr>
        <w:t>T,</w:t>
      </w:r>
      <w:r>
        <w:rPr>
          <w:rFonts w:hint="eastAsia" w:ascii="宋体" w:hAnsi="宋体"/>
          <w:spacing w:val="-2"/>
          <w:sz w:val="23"/>
        </w:rPr>
        <w:t>台面由50</w:t>
      </w:r>
      <w:r>
        <w:rPr>
          <w:rFonts w:ascii="宋体" w:hAnsi="宋体"/>
          <w:spacing w:val="-2"/>
          <w:sz w:val="23"/>
        </w:rPr>
        <w:t>MM</w:t>
      </w:r>
      <w:r>
        <w:rPr>
          <w:rFonts w:hint="eastAsia" w:ascii="宋体" w:hAnsi="宋体"/>
          <w:spacing w:val="-2"/>
          <w:sz w:val="23"/>
        </w:rPr>
        <w:t>高</w:t>
      </w:r>
      <w:r>
        <w:rPr>
          <w:rFonts w:ascii="宋体" w:hAnsi="宋体"/>
          <w:spacing w:val="-2"/>
          <w:sz w:val="23"/>
        </w:rPr>
        <w:t>分子复合材料</w:t>
      </w:r>
      <w:r>
        <w:rPr>
          <w:rFonts w:hint="eastAsia" w:ascii="宋体" w:hAnsi="宋体"/>
          <w:spacing w:val="-2"/>
          <w:sz w:val="23"/>
        </w:rPr>
        <w:t>贴面</w:t>
      </w:r>
      <w:r>
        <w:rPr>
          <w:rFonts w:ascii="宋体" w:hAnsi="宋体"/>
          <w:spacing w:val="-2"/>
          <w:sz w:val="23"/>
        </w:rPr>
        <w:t>，</w:t>
      </w:r>
      <w:r>
        <w:rPr>
          <w:rFonts w:hint="eastAsia" w:ascii="宋体" w:hAnsi="宋体"/>
          <w:spacing w:val="-2"/>
          <w:sz w:val="23"/>
        </w:rPr>
        <w:t>耐</w:t>
      </w:r>
      <w:r>
        <w:rPr>
          <w:rFonts w:ascii="宋体" w:hAnsi="宋体"/>
          <w:spacing w:val="-2"/>
          <w:sz w:val="23"/>
        </w:rPr>
        <w:t>酸</w:t>
      </w:r>
      <w:r>
        <w:rPr>
          <w:rFonts w:hint="eastAsia" w:ascii="宋体" w:hAnsi="宋体"/>
          <w:spacing w:val="-2"/>
          <w:sz w:val="23"/>
        </w:rPr>
        <w:t>、</w:t>
      </w:r>
      <w:r>
        <w:rPr>
          <w:rFonts w:ascii="宋体" w:hAnsi="宋体"/>
          <w:spacing w:val="-2"/>
          <w:sz w:val="23"/>
        </w:rPr>
        <w:t>酸碱，耐磨、耐油、基板采用高纤维，抗冲击力好，四周使用高强度塑胶包边不易</w:t>
      </w:r>
      <w:r>
        <w:rPr>
          <w:rFonts w:hint="eastAsia" w:ascii="宋体" w:hAnsi="宋体"/>
          <w:spacing w:val="-2"/>
          <w:sz w:val="23"/>
        </w:rPr>
        <w:t>受</w:t>
      </w:r>
      <w:r>
        <w:rPr>
          <w:rFonts w:ascii="宋体" w:hAnsi="宋体"/>
          <w:spacing w:val="-2"/>
          <w:sz w:val="23"/>
        </w:rPr>
        <w:t>撞击损坏。</w:t>
      </w:r>
      <w:r>
        <w:rPr>
          <w:rFonts w:hint="eastAsia" w:ascii="宋体" w:hAnsi="宋体"/>
          <w:spacing w:val="-2"/>
          <w:sz w:val="23"/>
        </w:rPr>
        <w:t>复合桌</w:t>
      </w:r>
      <w:r>
        <w:rPr>
          <w:rFonts w:ascii="宋体" w:hAnsi="宋体"/>
          <w:spacing w:val="-2"/>
          <w:sz w:val="23"/>
        </w:rPr>
        <w:t>面</w:t>
      </w:r>
      <w:r>
        <w:rPr>
          <w:rFonts w:hint="eastAsia" w:ascii="宋体" w:hAnsi="宋体"/>
          <w:spacing w:val="-2"/>
          <w:sz w:val="23"/>
        </w:rPr>
        <w:t>（外形尺寸为</w:t>
      </w:r>
      <w:r>
        <w:rPr>
          <w:rFonts w:ascii="宋体" w:hAnsi="宋体"/>
          <w:spacing w:val="-2"/>
          <w:sz w:val="23"/>
        </w:rPr>
        <w:t>14</w:t>
      </w:r>
      <w:r>
        <w:rPr>
          <w:rFonts w:hint="eastAsia" w:ascii="宋体" w:hAnsi="宋体"/>
          <w:spacing w:val="-2"/>
          <w:sz w:val="23"/>
        </w:rPr>
        <w:t>00mm×700mm）。操作台设有两个抽屉，</w:t>
      </w:r>
      <w:r>
        <w:rPr>
          <w:rFonts w:ascii="宋体" w:hAnsi="宋体"/>
          <w:spacing w:val="-2"/>
          <w:sz w:val="23"/>
        </w:rPr>
        <w:t>采用中控一体锁，降低</w:t>
      </w:r>
      <w:r>
        <w:rPr>
          <w:rFonts w:hint="eastAsia" w:ascii="宋体" w:hAnsi="宋体"/>
          <w:spacing w:val="-2"/>
          <w:sz w:val="23"/>
        </w:rPr>
        <w:t>推</w:t>
      </w:r>
      <w:r>
        <w:rPr>
          <w:rFonts w:ascii="宋体" w:hAnsi="宋体"/>
          <w:spacing w:val="-2"/>
          <w:sz w:val="23"/>
        </w:rPr>
        <w:t>拉时抽屉</w:t>
      </w:r>
      <w:r>
        <w:rPr>
          <w:rFonts w:hint="eastAsia" w:ascii="宋体" w:hAnsi="宋体"/>
          <w:spacing w:val="-2"/>
          <w:sz w:val="23"/>
        </w:rPr>
        <w:t>脱</w:t>
      </w:r>
      <w:r>
        <w:rPr>
          <w:rFonts w:ascii="宋体" w:hAnsi="宋体"/>
          <w:spacing w:val="-2"/>
          <w:sz w:val="23"/>
        </w:rPr>
        <w:t>出，降低离开时工具丢失</w:t>
      </w:r>
      <w:r>
        <w:rPr>
          <w:rFonts w:hint="eastAsia" w:ascii="宋体" w:hAnsi="宋体"/>
          <w:spacing w:val="-2"/>
          <w:sz w:val="23"/>
        </w:rPr>
        <w:t>。抽屉用于放置工具及资料，可放置零部件、配件等。桌</w:t>
      </w:r>
      <w:r>
        <w:rPr>
          <w:rFonts w:ascii="宋体" w:hAnsi="宋体"/>
          <w:spacing w:val="-2"/>
          <w:sz w:val="23"/>
        </w:rPr>
        <w:t>腿配有</w:t>
      </w:r>
      <w:r>
        <w:rPr>
          <w:rFonts w:hint="eastAsia" w:ascii="宋体" w:hAnsi="宋体"/>
          <w:spacing w:val="-2"/>
          <w:sz w:val="23"/>
        </w:rPr>
        <w:t>5孔</w:t>
      </w:r>
      <w:r>
        <w:rPr>
          <w:rFonts w:ascii="宋体" w:hAnsi="宋体"/>
          <w:spacing w:val="-2"/>
          <w:sz w:val="23"/>
        </w:rPr>
        <w:t>插座，方便工作时取电作业，更加便捷轻巧。</w:t>
      </w:r>
    </w:p>
    <w:p>
      <w:pPr>
        <w:spacing w:line="370" w:lineRule="exact"/>
        <w:ind w:firstLine="454"/>
        <w:rPr>
          <w:rFonts w:ascii="宋体" w:hAnsi="宋体"/>
          <w:spacing w:val="-2"/>
          <w:sz w:val="23"/>
        </w:rPr>
      </w:pPr>
      <w:r>
        <w:rPr>
          <w:rFonts w:hint="eastAsia" w:ascii="宋体" w:hAnsi="宋体"/>
          <w:spacing w:val="-2"/>
          <w:sz w:val="23"/>
        </w:rPr>
        <w:t>悬挂架：悬挂架固定在操作台上，外形尺寸为</w:t>
      </w:r>
      <w:r>
        <w:rPr>
          <w:rFonts w:ascii="宋体" w:hAnsi="宋体"/>
          <w:spacing w:val="-2"/>
          <w:sz w:val="23"/>
        </w:rPr>
        <w:t>14</w:t>
      </w:r>
      <w:r>
        <w:rPr>
          <w:rFonts w:hint="eastAsia" w:ascii="宋体" w:hAnsi="宋体"/>
          <w:spacing w:val="-2"/>
          <w:sz w:val="23"/>
        </w:rPr>
        <w:t>00mm×150mm×</w:t>
      </w:r>
      <w:r>
        <w:rPr>
          <w:rFonts w:ascii="宋体" w:hAnsi="宋体"/>
          <w:spacing w:val="-2"/>
          <w:sz w:val="23"/>
        </w:rPr>
        <w:t>98</w:t>
      </w:r>
      <w:r>
        <w:rPr>
          <w:rFonts w:hint="eastAsia" w:ascii="宋体" w:hAnsi="宋体"/>
          <w:spacing w:val="-2"/>
          <w:sz w:val="23"/>
        </w:rPr>
        <w:t>0mm，采用框架式结构，上</w:t>
      </w:r>
      <w:r>
        <w:rPr>
          <w:rFonts w:ascii="宋体" w:hAnsi="宋体"/>
          <w:spacing w:val="-2"/>
          <w:sz w:val="23"/>
        </w:rPr>
        <w:t>方设有</w:t>
      </w:r>
      <w:r>
        <w:rPr>
          <w:rFonts w:hint="eastAsia" w:ascii="宋体" w:hAnsi="宋体"/>
          <w:spacing w:val="-2"/>
          <w:sz w:val="23"/>
        </w:rPr>
        <w:t>LED节</w:t>
      </w:r>
      <w:r>
        <w:rPr>
          <w:rFonts w:ascii="宋体" w:hAnsi="宋体"/>
          <w:spacing w:val="-2"/>
          <w:sz w:val="23"/>
        </w:rPr>
        <w:t>电</w:t>
      </w:r>
      <w:r>
        <w:rPr>
          <w:rFonts w:hint="eastAsia" w:ascii="宋体" w:hAnsi="宋体"/>
          <w:spacing w:val="-2"/>
          <w:sz w:val="23"/>
        </w:rPr>
        <w:t>灯</w:t>
      </w:r>
      <w:r>
        <w:rPr>
          <w:rFonts w:ascii="宋体" w:hAnsi="宋体"/>
          <w:spacing w:val="-2"/>
          <w:sz w:val="23"/>
        </w:rPr>
        <w:t>管照明装置，</w:t>
      </w:r>
      <w:r>
        <w:rPr>
          <w:rFonts w:hint="eastAsia" w:ascii="宋体" w:hAnsi="宋体"/>
          <w:spacing w:val="-2"/>
          <w:sz w:val="23"/>
        </w:rPr>
        <w:t>背</w:t>
      </w:r>
      <w:r>
        <w:rPr>
          <w:rFonts w:ascii="宋体" w:hAnsi="宋体"/>
          <w:spacing w:val="-2"/>
          <w:sz w:val="23"/>
        </w:rPr>
        <w:t>网采用上方</w:t>
      </w:r>
      <w:r>
        <w:rPr>
          <w:rFonts w:hint="eastAsia" w:ascii="宋体" w:hAnsi="宋体"/>
          <w:spacing w:val="-2"/>
          <w:sz w:val="23"/>
        </w:rPr>
        <w:t>孔</w:t>
      </w:r>
      <w:r>
        <w:rPr>
          <w:rFonts w:ascii="宋体" w:hAnsi="宋体"/>
          <w:spacing w:val="-2"/>
          <w:sz w:val="23"/>
        </w:rPr>
        <w:t>下百叶</w:t>
      </w:r>
      <w:r>
        <w:rPr>
          <w:rFonts w:hint="eastAsia" w:ascii="宋体" w:hAnsi="宋体"/>
          <w:spacing w:val="-2"/>
          <w:sz w:val="23"/>
        </w:rPr>
        <w:t>孔</w:t>
      </w:r>
      <w:r>
        <w:rPr>
          <w:rFonts w:ascii="宋体" w:hAnsi="宋体"/>
          <w:spacing w:val="-2"/>
          <w:sz w:val="23"/>
        </w:rPr>
        <w:t>设计，</w:t>
      </w:r>
      <w:r>
        <w:rPr>
          <w:rFonts w:hint="eastAsia" w:ascii="宋体" w:hAnsi="宋体"/>
          <w:spacing w:val="-2"/>
          <w:sz w:val="23"/>
        </w:rPr>
        <w:t>可</w:t>
      </w:r>
      <w:r>
        <w:rPr>
          <w:rFonts w:ascii="宋体" w:hAnsi="宋体"/>
          <w:spacing w:val="-2"/>
          <w:sz w:val="23"/>
        </w:rPr>
        <w:t>悬挂多种</w:t>
      </w:r>
      <w:r>
        <w:rPr>
          <w:rFonts w:hint="eastAsia" w:ascii="宋体" w:hAnsi="宋体"/>
          <w:spacing w:val="-2"/>
          <w:sz w:val="23"/>
        </w:rPr>
        <w:t>料盒</w:t>
      </w:r>
      <w:r>
        <w:rPr>
          <w:rFonts w:ascii="宋体" w:hAnsi="宋体"/>
          <w:spacing w:val="-2"/>
          <w:sz w:val="23"/>
        </w:rPr>
        <w:t>、挂</w:t>
      </w:r>
      <w:r>
        <w:rPr>
          <w:rFonts w:hint="eastAsia" w:ascii="宋体" w:hAnsi="宋体"/>
          <w:spacing w:val="-2"/>
          <w:sz w:val="23"/>
        </w:rPr>
        <w:t>钩</w:t>
      </w:r>
      <w:r>
        <w:rPr>
          <w:rFonts w:ascii="宋体" w:hAnsi="宋体"/>
          <w:spacing w:val="-2"/>
          <w:sz w:val="23"/>
        </w:rPr>
        <w:t>，</w:t>
      </w:r>
      <w:r>
        <w:rPr>
          <w:rFonts w:hint="eastAsia" w:ascii="宋体" w:hAnsi="宋体"/>
          <w:spacing w:val="-2"/>
          <w:sz w:val="23"/>
        </w:rPr>
        <w:t>结构紧凑、美观大方，既可起操作时的防护作用，又可挂置工具、量具及图纸，带有托盘可放置小型零部件。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dmMDJjZDEzYTgzZjkwOTgwYmJlMDg1OTc0MWZmZmMifQ=="/>
  </w:docVars>
  <w:rsids>
    <w:rsidRoot w:val="00192B10"/>
    <w:rsid w:val="00192B10"/>
    <w:rsid w:val="001B5E10"/>
    <w:rsid w:val="002654CB"/>
    <w:rsid w:val="004E036C"/>
    <w:rsid w:val="005F20B7"/>
    <w:rsid w:val="00707DB9"/>
    <w:rsid w:val="008C3024"/>
    <w:rsid w:val="009F1C72"/>
    <w:rsid w:val="00A044EE"/>
    <w:rsid w:val="00A85D70"/>
    <w:rsid w:val="00D22A35"/>
    <w:rsid w:val="00D8763B"/>
    <w:rsid w:val="00E52192"/>
    <w:rsid w:val="450F0467"/>
    <w:rsid w:val="726C362F"/>
    <w:rsid w:val="7FD80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宋体" w:cs="Times New Roman"/>
      <w:kern w:val="0"/>
      <w:sz w:val="22"/>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styleId="3">
    <w:name w:val="Body Text"/>
    <w:basedOn w:val="1"/>
    <w:next w:val="4"/>
    <w:link w:val="10"/>
    <w:unhideWhenUsed/>
    <w:qFormat/>
    <w:uiPriority w:val="0"/>
    <w:pPr>
      <w:widowControl w:val="0"/>
      <w:adjustRightInd/>
      <w:snapToGrid/>
      <w:spacing w:after="120"/>
      <w:jc w:val="both"/>
    </w:pPr>
    <w:rPr>
      <w:rFonts w:eastAsia="Tahoma"/>
      <w:kern w:val="2"/>
      <w:sz w:val="21"/>
      <w:szCs w:val="20"/>
    </w:rPr>
  </w:style>
  <w:style w:type="paragraph" w:customStyle="1" w:styleId="4">
    <w:name w:val="Default"/>
    <w:next w:val="5"/>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styleId="5">
    <w:name w:val="Intense Quote"/>
    <w:basedOn w:val="1"/>
    <w:next w:val="1"/>
    <w:link w:val="11"/>
    <w:qFormat/>
    <w:uiPriority w:val="30"/>
    <w:pPr>
      <w:pBdr>
        <w:top w:val="single" w:color="4472C4" w:themeColor="accent1" w:sz="4" w:space="10"/>
        <w:bottom w:val="single" w:color="4472C4" w:themeColor="accent1" w:sz="4" w:space="10"/>
      </w:pBdr>
      <w:spacing w:before="360" w:after="360"/>
      <w:ind w:left="864" w:right="864"/>
      <w:jc w:val="center"/>
    </w:pPr>
    <w:rPr>
      <w:i/>
      <w:iCs/>
      <w:color w:val="4472C4" w:themeColor="accent1"/>
      <w14:textFill>
        <w14:solidFill>
          <w14:schemeClr w14:val="accent1"/>
        </w14:solidFill>
      </w14:textFill>
    </w:rPr>
  </w:style>
  <w:style w:type="paragraph" w:styleId="6">
    <w:name w:val="footer"/>
    <w:basedOn w:val="1"/>
    <w:link w:val="13"/>
    <w:unhideWhenUsed/>
    <w:uiPriority w:val="99"/>
    <w:pPr>
      <w:tabs>
        <w:tab w:val="center" w:pos="4153"/>
        <w:tab w:val="right" w:pos="8306"/>
      </w:tabs>
    </w:pPr>
    <w:rPr>
      <w:sz w:val="18"/>
      <w:szCs w:val="18"/>
    </w:rPr>
  </w:style>
  <w:style w:type="paragraph" w:styleId="7">
    <w:name w:val="header"/>
    <w:basedOn w:val="1"/>
    <w:link w:val="12"/>
    <w:unhideWhenUsed/>
    <w:uiPriority w:val="99"/>
    <w:pPr>
      <w:tabs>
        <w:tab w:val="center" w:pos="4153"/>
        <w:tab w:val="right" w:pos="8306"/>
      </w:tabs>
      <w:jc w:val="center"/>
    </w:pPr>
    <w:rPr>
      <w:sz w:val="18"/>
      <w:szCs w:val="18"/>
    </w:rPr>
  </w:style>
  <w:style w:type="character" w:customStyle="1" w:styleId="10">
    <w:name w:val="正文文本 字符"/>
    <w:basedOn w:val="9"/>
    <w:link w:val="3"/>
    <w:qFormat/>
    <w:uiPriority w:val="0"/>
    <w:rPr>
      <w:rFonts w:ascii="Tahoma" w:hAnsi="Tahoma" w:eastAsia="Tahoma" w:cs="Times New Roman"/>
      <w:szCs w:val="20"/>
    </w:rPr>
  </w:style>
  <w:style w:type="character" w:customStyle="1" w:styleId="11">
    <w:name w:val="明显引用 字符"/>
    <w:basedOn w:val="9"/>
    <w:link w:val="5"/>
    <w:uiPriority w:val="30"/>
    <w:rPr>
      <w:rFonts w:ascii="Tahoma" w:hAnsi="Tahoma" w:eastAsia="宋体" w:cs="Times New Roman"/>
      <w:i/>
      <w:iCs/>
      <w:color w:val="4472C4" w:themeColor="accent1"/>
      <w:kern w:val="0"/>
      <w:sz w:val="22"/>
      <w14:textFill>
        <w14:solidFill>
          <w14:schemeClr w14:val="accent1"/>
        </w14:solidFill>
      </w14:textFill>
    </w:rPr>
  </w:style>
  <w:style w:type="character" w:customStyle="1" w:styleId="12">
    <w:name w:val="页眉 字符"/>
    <w:basedOn w:val="9"/>
    <w:link w:val="7"/>
    <w:uiPriority w:val="99"/>
    <w:rPr>
      <w:rFonts w:ascii="Tahoma" w:hAnsi="Tahoma" w:eastAsia="宋体" w:cs="Times New Roman"/>
      <w:kern w:val="0"/>
      <w:sz w:val="18"/>
      <w:szCs w:val="18"/>
    </w:rPr>
  </w:style>
  <w:style w:type="character" w:customStyle="1" w:styleId="13">
    <w:name w:val="页脚 字符"/>
    <w:basedOn w:val="9"/>
    <w:link w:val="6"/>
    <w:qFormat/>
    <w:uiPriority w:val="99"/>
    <w:rPr>
      <w:rFonts w:ascii="Tahoma" w:hAnsi="Tahoma" w:eastAsia="宋体" w:cs="Times New Roman"/>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3896</Words>
  <Characters>4417</Characters>
  <Lines>32</Lines>
  <Paragraphs>9</Paragraphs>
  <TotalTime>16</TotalTime>
  <ScaleCrop>false</ScaleCrop>
  <LinksUpToDate>false</LinksUpToDate>
  <CharactersWithSpaces>4433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2024-05-16T06:57:00Z</dcterms:created>
  <dc:creator>Administrator</dc:creator>
  <cp:lastModifiedBy>Administrator</cp:lastModifiedBy>
  <dcterms:modified xsi:type="dcterms:W3CDTF">2024-07-09T06:20:40Z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CDF828D3D5764A0D976C60DCABE3E9ED_12</vt:lpwstr>
  </property>
</Properties>
</file>